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CBD7" w14:textId="0E33A177" w:rsidR="009E530E" w:rsidRDefault="00A33916" w:rsidP="00A33916">
      <w:pPr>
        <w:pStyle w:val="Heading1"/>
      </w:pPr>
      <w:r>
        <w:t xml:space="preserve">Indexing </w:t>
      </w:r>
      <w:r w:rsidR="005503B4">
        <w:t>g</w:t>
      </w:r>
      <w:r>
        <w:t>uidelines</w:t>
      </w:r>
    </w:p>
    <w:p w14:paraId="0B740A65" w14:textId="77777777" w:rsidR="00A33916" w:rsidRDefault="00A33916" w:rsidP="00DC1A7B"/>
    <w:p w14:paraId="109DF7E5" w14:textId="77777777" w:rsidR="00A33916" w:rsidRPr="00A33916" w:rsidRDefault="00A33916" w:rsidP="00A33916">
      <w:pPr>
        <w:pStyle w:val="Text3"/>
        <w:numPr>
          <w:ilvl w:val="0"/>
          <w:numId w:val="2"/>
        </w:numPr>
        <w:rPr>
          <w:b/>
          <w:bCs/>
        </w:rPr>
      </w:pPr>
      <w:r w:rsidRPr="00A33916">
        <w:rPr>
          <w:b/>
          <w:bCs/>
        </w:rPr>
        <w:t>Please note that EUP does not accept indexes generated by LLMs.</w:t>
      </w:r>
    </w:p>
    <w:p w14:paraId="173BCFB4" w14:textId="77777777" w:rsidR="00A33916" w:rsidRPr="00915100" w:rsidRDefault="00A33916" w:rsidP="00A33916">
      <w:pPr>
        <w:pStyle w:val="Text3"/>
        <w:numPr>
          <w:ilvl w:val="0"/>
          <w:numId w:val="2"/>
        </w:numPr>
        <w:rPr>
          <w:bCs/>
        </w:rPr>
      </w:pPr>
      <w:r w:rsidRPr="00915100">
        <w:rPr>
          <w:bCs/>
        </w:rPr>
        <w:t>In fairly short, general books, one integrated index is preferred. Longer, more technical books may require separate subject/name indexes. If you think your book requires more than one index, please contact your Desk Editor to discuss.</w:t>
      </w:r>
    </w:p>
    <w:p w14:paraId="6C9BF91D" w14:textId="77777777" w:rsidR="00A33916" w:rsidRPr="00915100" w:rsidRDefault="00A33916" w:rsidP="00A33916">
      <w:pPr>
        <w:pStyle w:val="Text3"/>
        <w:numPr>
          <w:ilvl w:val="0"/>
          <w:numId w:val="2"/>
        </w:numPr>
        <w:rPr>
          <w:bCs/>
        </w:rPr>
      </w:pPr>
      <w:r w:rsidRPr="00915100">
        <w:rPr>
          <w:bCs/>
        </w:rPr>
        <w:t>The length of an index varies depending on the book, but in general you should allow around 3–5 per cent of the book</w:t>
      </w:r>
      <w:r>
        <w:rPr>
          <w:bCs/>
        </w:rPr>
        <w:t>’</w:t>
      </w:r>
      <w:r w:rsidRPr="00915100">
        <w:rPr>
          <w:bCs/>
        </w:rPr>
        <w:t>s length (</w:t>
      </w:r>
      <w:proofErr w:type="gramStart"/>
      <w:r w:rsidRPr="00915100">
        <w:rPr>
          <w:bCs/>
        </w:rPr>
        <w:t>i.e.</w:t>
      </w:r>
      <w:proofErr w:type="gramEnd"/>
      <w:r w:rsidRPr="00915100">
        <w:rPr>
          <w:bCs/>
        </w:rPr>
        <w:t xml:space="preserve"> 7–12 typeset pages for a 250-page book).</w:t>
      </w:r>
    </w:p>
    <w:p w14:paraId="36B0CDBD" w14:textId="77777777" w:rsidR="00A33916" w:rsidRPr="00915100" w:rsidRDefault="00A33916" w:rsidP="00A33916">
      <w:pPr>
        <w:pStyle w:val="Text3"/>
        <w:numPr>
          <w:ilvl w:val="0"/>
          <w:numId w:val="2"/>
        </w:numPr>
        <w:rPr>
          <w:bCs/>
        </w:rPr>
      </w:pPr>
      <w:r w:rsidRPr="00915100">
        <w:rPr>
          <w:bCs/>
        </w:rPr>
        <w:t>The first page of the index should be headed with the author</w:t>
      </w:r>
      <w:r>
        <w:rPr>
          <w:bCs/>
        </w:rPr>
        <w:t>’</w:t>
      </w:r>
      <w:r w:rsidRPr="00915100">
        <w:rPr>
          <w:bCs/>
        </w:rPr>
        <w:t>s name and the title of the publication. Please leave line spaces between letters of the alphabet.</w:t>
      </w:r>
    </w:p>
    <w:p w14:paraId="37D19D68" w14:textId="77777777" w:rsidR="00A33916" w:rsidRPr="00915100" w:rsidRDefault="00A33916" w:rsidP="00A33916">
      <w:pPr>
        <w:pStyle w:val="Text3"/>
        <w:numPr>
          <w:ilvl w:val="0"/>
          <w:numId w:val="2"/>
        </w:numPr>
        <w:rPr>
          <w:bCs/>
        </w:rPr>
      </w:pPr>
      <w:r w:rsidRPr="00915100">
        <w:rPr>
          <w:bCs/>
        </w:rPr>
        <w:t>A main entry is followed by a comma if it has page reference(s) attached. If it has no page references, only sub-entries, there is no comma following it.</w:t>
      </w:r>
    </w:p>
    <w:p w14:paraId="7F907F23" w14:textId="77777777" w:rsidR="00A33916" w:rsidRPr="00915100" w:rsidRDefault="00A33916" w:rsidP="00A33916">
      <w:pPr>
        <w:pStyle w:val="Text3"/>
        <w:numPr>
          <w:ilvl w:val="0"/>
          <w:numId w:val="2"/>
        </w:numPr>
        <w:rPr>
          <w:bCs/>
        </w:rPr>
      </w:pPr>
      <w:r w:rsidRPr="00915100">
        <w:rPr>
          <w:bCs/>
        </w:rPr>
        <w:t>Page number references are separated by commas.</w:t>
      </w:r>
    </w:p>
    <w:p w14:paraId="656A522E" w14:textId="77777777" w:rsidR="00A33916" w:rsidRPr="00A33916" w:rsidRDefault="00A33916" w:rsidP="00A33916">
      <w:pPr>
        <w:pStyle w:val="Text3"/>
        <w:numPr>
          <w:ilvl w:val="0"/>
          <w:numId w:val="2"/>
        </w:numPr>
      </w:pPr>
      <w:r w:rsidRPr="00A33916">
        <w:t>Each sub-entry should be placed on a separate line, indented:</w:t>
      </w:r>
    </w:p>
    <w:p w14:paraId="3ADFA147" w14:textId="77777777" w:rsidR="00A33916" w:rsidRPr="00A33916" w:rsidRDefault="00A33916" w:rsidP="00A33916">
      <w:pPr>
        <w:pStyle w:val="Text3"/>
        <w:ind w:firstLine="720"/>
      </w:pPr>
      <w:r w:rsidRPr="00A33916">
        <w:t>main entry</w:t>
      </w:r>
    </w:p>
    <w:p w14:paraId="303AF038" w14:textId="69BDB561" w:rsidR="00A33916" w:rsidRPr="00A33916" w:rsidRDefault="00A33916" w:rsidP="00A33916">
      <w:pPr>
        <w:pStyle w:val="Text3"/>
      </w:pPr>
      <w:r w:rsidRPr="00A33916">
        <w:tab/>
      </w:r>
      <w:r>
        <w:tab/>
      </w:r>
      <w:r w:rsidRPr="00A33916">
        <w:t>sub-entry</w:t>
      </w:r>
    </w:p>
    <w:p w14:paraId="601E5C80" w14:textId="2DE444AC" w:rsidR="00A33916" w:rsidRPr="00A33916" w:rsidRDefault="00A33916" w:rsidP="00A33916">
      <w:pPr>
        <w:pStyle w:val="Text3"/>
      </w:pPr>
      <w:r w:rsidRPr="00A33916">
        <w:tab/>
      </w:r>
      <w:r>
        <w:tab/>
      </w:r>
      <w:r w:rsidRPr="00A33916">
        <w:t>sub-entry</w:t>
      </w:r>
    </w:p>
    <w:p w14:paraId="3C392495" w14:textId="77777777" w:rsidR="00A33916" w:rsidRPr="00A33916" w:rsidRDefault="00A33916" w:rsidP="00A33916">
      <w:pPr>
        <w:pStyle w:val="Text3"/>
        <w:ind w:left="720"/>
      </w:pPr>
      <w:r w:rsidRPr="00A33916">
        <w:t>The order of sub-entries is normally alphabetical, but some books may require a different system (</w:t>
      </w:r>
      <w:proofErr w:type="gramStart"/>
      <w:r w:rsidRPr="00A33916">
        <w:t>e.g.</w:t>
      </w:r>
      <w:proofErr w:type="gramEnd"/>
      <w:r w:rsidRPr="00A33916">
        <w:t xml:space="preserve"> it may be more helpful to order by date for historical events). Please ensure you use a consistent ordering system throughout your index. Please also ensure you use a consistent method of indenting sub-entries (</w:t>
      </w:r>
      <w:proofErr w:type="gramStart"/>
      <w:r w:rsidRPr="00A33916">
        <w:t>i.e.</w:t>
      </w:r>
      <w:proofErr w:type="gramEnd"/>
      <w:r w:rsidRPr="00A33916">
        <w:t xml:space="preserve"> always use the tab or always use paragraph setting in Word, as otherwise the typesetter may infer different hierarchies and set these differently.</w:t>
      </w:r>
    </w:p>
    <w:p w14:paraId="773D2AAA" w14:textId="77777777" w:rsidR="00A33916" w:rsidRPr="00915100" w:rsidRDefault="00A33916" w:rsidP="00A33916">
      <w:pPr>
        <w:pStyle w:val="Text3"/>
        <w:numPr>
          <w:ilvl w:val="0"/>
          <w:numId w:val="3"/>
        </w:numPr>
      </w:pPr>
      <w:r w:rsidRPr="00915100">
        <w:t>Avoid sub-sub-entries, where possible. Where necessary, sub-sub-entries are run on from the relevant sub-entry, separated by a colon. Further sub-sub-entries are separated from each other by a semi-colon.</w:t>
      </w:r>
    </w:p>
    <w:p w14:paraId="009AA0FD" w14:textId="77777777" w:rsidR="00A33916" w:rsidRPr="00915100" w:rsidRDefault="00A33916" w:rsidP="00A33916">
      <w:pPr>
        <w:pStyle w:val="Text3"/>
        <w:numPr>
          <w:ilvl w:val="0"/>
          <w:numId w:val="3"/>
        </w:numPr>
      </w:pPr>
      <w:r w:rsidRPr="00915100">
        <w:t>Generally, a main index entry should be a noun (with or without an attached adjective). If various synonyms are used, group the entries under the synonym that readers are most likely to use, and use a ‘</w:t>
      </w:r>
      <w:r w:rsidRPr="00915100">
        <w:rPr>
          <w:i/>
          <w:iCs/>
        </w:rPr>
        <w:t>see</w:t>
      </w:r>
      <w:r>
        <w:t>’</w:t>
      </w:r>
      <w:r w:rsidRPr="00915100">
        <w:t xml:space="preserve"> cross-reference to the other synonyms to this main entry. If the words are related, but not synonymous, index the relevant page numbers under each and use ‘</w:t>
      </w:r>
      <w:r w:rsidRPr="00915100">
        <w:rPr>
          <w:i/>
          <w:iCs/>
        </w:rPr>
        <w:t>see also</w:t>
      </w:r>
      <w:r>
        <w:t>’</w:t>
      </w:r>
      <w:r w:rsidRPr="00915100">
        <w:t xml:space="preserve"> cross-references. Both ‘</w:t>
      </w:r>
      <w:r w:rsidRPr="00915100">
        <w:rPr>
          <w:i/>
          <w:iCs/>
        </w:rPr>
        <w:t>see</w:t>
      </w:r>
      <w:r>
        <w:t>’</w:t>
      </w:r>
      <w:r w:rsidRPr="00915100">
        <w:t xml:space="preserve"> and ‘</w:t>
      </w:r>
      <w:r w:rsidRPr="00915100">
        <w:rPr>
          <w:i/>
          <w:iCs/>
        </w:rPr>
        <w:t>see also</w:t>
      </w:r>
      <w:r>
        <w:t>’</w:t>
      </w:r>
      <w:r w:rsidRPr="00915100">
        <w:t xml:space="preserve"> should be italicised.</w:t>
      </w:r>
    </w:p>
    <w:p w14:paraId="471ECCAC" w14:textId="77777777" w:rsidR="00A33916" w:rsidRPr="00915100" w:rsidRDefault="00A33916" w:rsidP="00A33916">
      <w:pPr>
        <w:pStyle w:val="Text3"/>
        <w:numPr>
          <w:ilvl w:val="0"/>
          <w:numId w:val="3"/>
        </w:numPr>
      </w:pPr>
      <w:r w:rsidRPr="00915100">
        <w:t>Do not index your Preface or Foreword unless it contains important material not given elsewhere.</w:t>
      </w:r>
    </w:p>
    <w:p w14:paraId="039EB642" w14:textId="77777777" w:rsidR="00A33916" w:rsidRPr="00915100" w:rsidRDefault="00A33916" w:rsidP="00A33916">
      <w:pPr>
        <w:pStyle w:val="Text3"/>
        <w:numPr>
          <w:ilvl w:val="0"/>
          <w:numId w:val="3"/>
        </w:numPr>
      </w:pPr>
      <w:r w:rsidRPr="00915100">
        <w:t>Not every mention of a topic should be included in the index. ‘Passing mentions</w:t>
      </w:r>
      <w:r>
        <w:t>’</w:t>
      </w:r>
      <w:r w:rsidRPr="00915100">
        <w:t xml:space="preserve"> (brief or repeated information discussed </w:t>
      </w:r>
      <w:r>
        <w:t xml:space="preserve">fully </w:t>
      </w:r>
      <w:r w:rsidRPr="00915100">
        <w:t>elsewhere) should not be indexed because the reader will not find useful additional information on the topic at that location.</w:t>
      </w:r>
    </w:p>
    <w:p w14:paraId="7AC2C3C3" w14:textId="77777777" w:rsidR="00A33916" w:rsidRPr="00915100" w:rsidRDefault="00A33916" w:rsidP="00A33916">
      <w:pPr>
        <w:pStyle w:val="Text3"/>
        <w:numPr>
          <w:ilvl w:val="0"/>
          <w:numId w:val="3"/>
        </w:numPr>
      </w:pPr>
      <w:r w:rsidRPr="00915100">
        <w:lastRenderedPageBreak/>
        <w:t>Names included in an index should be only those whose work is described, not those referenced in notes or in author-date parenthetical references.</w:t>
      </w:r>
    </w:p>
    <w:p w14:paraId="1CDCFC1D" w14:textId="77777777" w:rsidR="00A33916" w:rsidRPr="00915100" w:rsidRDefault="00A33916" w:rsidP="00A33916">
      <w:pPr>
        <w:pStyle w:val="Text3"/>
        <w:numPr>
          <w:ilvl w:val="0"/>
          <w:numId w:val="3"/>
        </w:numPr>
      </w:pPr>
      <w:r w:rsidRPr="00915100">
        <w:t>Unless notes contain information not mentioned in the text, do not index them. If they are indexed, this should be done by the page number on which they occur, not the number of the page containing the textual indicator. Note references should be in the form: 169n (the page number + ‘n</w:t>
      </w:r>
      <w:r>
        <w:t>’</w:t>
      </w:r>
      <w:r w:rsidRPr="00915100">
        <w:t xml:space="preserve">: do not include the note number). </w:t>
      </w:r>
    </w:p>
    <w:p w14:paraId="64C0AA24" w14:textId="77777777" w:rsidR="00A33916" w:rsidRPr="00915100" w:rsidRDefault="00A33916" w:rsidP="00A33916">
      <w:pPr>
        <w:pStyle w:val="Text3"/>
        <w:numPr>
          <w:ilvl w:val="0"/>
          <w:numId w:val="3"/>
        </w:numPr>
      </w:pPr>
      <w:r w:rsidRPr="00915100">
        <w:t>Do not index bibliographies or reference lists.</w:t>
      </w:r>
    </w:p>
    <w:p w14:paraId="4E4C1D77" w14:textId="51B874CC" w:rsidR="00A33916" w:rsidRPr="00915100" w:rsidRDefault="00A33916" w:rsidP="00A33916">
      <w:pPr>
        <w:pStyle w:val="Text3"/>
        <w:numPr>
          <w:ilvl w:val="0"/>
          <w:numId w:val="3"/>
        </w:numPr>
      </w:pPr>
      <w:r w:rsidRPr="00915100">
        <w:t>Be sure to use the same conventions of spelling, capitalisation, italicisation</w:t>
      </w:r>
      <w:r>
        <w:t>,</w:t>
      </w:r>
      <w:r w:rsidRPr="00915100">
        <w:t xml:space="preserve"> hyphenation etc. as the text (which the copy editor will have ensured is consistent throughout). Do not use capitals </w:t>
      </w:r>
      <w:r>
        <w:t xml:space="preserve">or italics </w:t>
      </w:r>
      <w:r w:rsidRPr="00915100">
        <w:t>for an entry if the text does not use capitals</w:t>
      </w:r>
      <w:r>
        <w:t>/italics</w:t>
      </w:r>
      <w:r w:rsidRPr="00915100">
        <w:t xml:space="preserve"> for the word. </w:t>
      </w:r>
    </w:p>
    <w:p w14:paraId="591337C5" w14:textId="77777777" w:rsidR="00A33916" w:rsidRPr="00915100" w:rsidRDefault="00A33916" w:rsidP="00A33916">
      <w:pPr>
        <w:pStyle w:val="Text3"/>
        <w:numPr>
          <w:ilvl w:val="0"/>
          <w:numId w:val="3"/>
        </w:numPr>
      </w:pPr>
      <w:r w:rsidRPr="00915100">
        <w:t>Index Mac, Mc and M</w:t>
      </w:r>
      <w:r>
        <w:t>’</w:t>
      </w:r>
      <w:r w:rsidRPr="00915100">
        <w:t xml:space="preserve"> as though they were all Mac.</w:t>
      </w:r>
    </w:p>
    <w:p w14:paraId="514F5CBA" w14:textId="77777777" w:rsidR="00A33916" w:rsidRPr="00915100" w:rsidRDefault="00A33916" w:rsidP="00A33916">
      <w:pPr>
        <w:pStyle w:val="Text3"/>
        <w:numPr>
          <w:ilvl w:val="0"/>
          <w:numId w:val="3"/>
        </w:numPr>
      </w:pPr>
      <w:r w:rsidRPr="00915100">
        <w:t>Index ‘Saint</w:t>
      </w:r>
      <w:r>
        <w:t>’</w:t>
      </w:r>
      <w:r w:rsidRPr="00915100">
        <w:t xml:space="preserve"> and ‘Street</w:t>
      </w:r>
      <w:r>
        <w:t>’</w:t>
      </w:r>
      <w:r w:rsidRPr="00915100">
        <w:t xml:space="preserve"> as if they were spelled out in full, even if they appear as abbreviations.</w:t>
      </w:r>
    </w:p>
    <w:p w14:paraId="6CA53571" w14:textId="77777777" w:rsidR="00A33916" w:rsidRPr="00915100" w:rsidRDefault="00A33916" w:rsidP="00A33916">
      <w:pPr>
        <w:pStyle w:val="Text3"/>
        <w:numPr>
          <w:ilvl w:val="0"/>
          <w:numId w:val="3"/>
        </w:numPr>
      </w:pPr>
      <w:r>
        <w:t>Do not</w:t>
      </w:r>
      <w:r w:rsidRPr="00915100">
        <w:t xml:space="preserve"> </w:t>
      </w:r>
      <w:r>
        <w:t xml:space="preserve">use </w:t>
      </w:r>
      <w:r w:rsidRPr="00915100">
        <w:t>ff.</w:t>
      </w:r>
      <w:r>
        <w:t xml:space="preserve"> or chapter numbers</w:t>
      </w:r>
      <w:r w:rsidRPr="00915100">
        <w:t>; use ranges of page numbers instead.</w:t>
      </w:r>
    </w:p>
    <w:p w14:paraId="19002325" w14:textId="77777777" w:rsidR="00A33916" w:rsidRPr="00915100" w:rsidRDefault="00A33916" w:rsidP="00A33916">
      <w:pPr>
        <w:pStyle w:val="Text3"/>
        <w:numPr>
          <w:ilvl w:val="0"/>
          <w:numId w:val="3"/>
        </w:numPr>
      </w:pPr>
      <w:r w:rsidRPr="00915100">
        <w:t>Avoid using</w:t>
      </w:r>
      <w:r w:rsidRPr="00915100">
        <w:rPr>
          <w:i/>
        </w:rPr>
        <w:t xml:space="preserve"> passim</w:t>
      </w:r>
      <w:r w:rsidRPr="00915100">
        <w:t xml:space="preserve"> references where possible.</w:t>
      </w:r>
    </w:p>
    <w:p w14:paraId="3550F5EB" w14:textId="77777777" w:rsidR="00A33916" w:rsidRPr="00915100" w:rsidRDefault="00A33916" w:rsidP="00A33916">
      <w:pPr>
        <w:pStyle w:val="Text3"/>
        <w:numPr>
          <w:ilvl w:val="0"/>
          <w:numId w:val="3"/>
        </w:numPr>
      </w:pPr>
      <w:r w:rsidRPr="00915100">
        <w:t xml:space="preserve">Numbers should be fully elided, except in the ‘teens, </w:t>
      </w:r>
      <w:proofErr w:type="gramStart"/>
      <w:r w:rsidRPr="00915100">
        <w:t>i.e.</w:t>
      </w:r>
      <w:proofErr w:type="gramEnd"/>
      <w:r w:rsidRPr="00915100">
        <w:t xml:space="preserve"> 3–4, 11–19, 13–14, 23–</w:t>
      </w:r>
      <w:r>
        <w:t>7</w:t>
      </w:r>
      <w:r w:rsidRPr="00915100">
        <w:t>, 111–19, 123–4 and so on. (A common error is for numbers in the ‘teens to be wrongly presented as 13–4.)</w:t>
      </w:r>
    </w:p>
    <w:p w14:paraId="7DF70A0A" w14:textId="77777777" w:rsidR="00A33916" w:rsidRPr="00915100" w:rsidRDefault="00A33916" w:rsidP="00A33916">
      <w:pPr>
        <w:pStyle w:val="Text3"/>
        <w:numPr>
          <w:ilvl w:val="0"/>
          <w:numId w:val="3"/>
        </w:numPr>
      </w:pPr>
      <w:r w:rsidRPr="00915100">
        <w:t>Distinguish between continuous reference to the subject (67–9) and separate mentions (67, 69). Avoid over-long ‘strings</w:t>
      </w:r>
      <w:r>
        <w:t>’</w:t>
      </w:r>
      <w:r w:rsidRPr="00915100">
        <w:t xml:space="preserve"> of page references as these are not helpful to the reader. The</w:t>
      </w:r>
      <w:r>
        <w:t>y</w:t>
      </w:r>
      <w:r w:rsidRPr="00915100">
        <w:t xml:space="preserve"> can usually be avoided by adding sub</w:t>
      </w:r>
      <w:r>
        <w:t>-</w:t>
      </w:r>
      <w:r w:rsidRPr="00915100">
        <w:t>headings.</w:t>
      </w:r>
    </w:p>
    <w:p w14:paraId="09492164" w14:textId="77777777" w:rsidR="00A33916" w:rsidRPr="00915100" w:rsidRDefault="00A33916" w:rsidP="00A33916">
      <w:pPr>
        <w:pStyle w:val="Text3"/>
        <w:numPr>
          <w:ilvl w:val="0"/>
          <w:numId w:val="3"/>
        </w:numPr>
      </w:pPr>
      <w:r w:rsidRPr="00915100">
        <w:t>Cross-references should be in the form</w:t>
      </w:r>
      <w:r>
        <w:t>:</w:t>
      </w:r>
    </w:p>
    <w:p w14:paraId="5592A144" w14:textId="77777777" w:rsidR="00A33916" w:rsidRPr="00915100" w:rsidRDefault="00A33916" w:rsidP="00A33916">
      <w:pPr>
        <w:pStyle w:val="Text3"/>
        <w:ind w:firstLine="720"/>
      </w:pPr>
      <w:r w:rsidRPr="00915100">
        <w:t xml:space="preserve">main entry </w:t>
      </w:r>
      <w:proofErr w:type="gramStart"/>
      <w:r w:rsidRPr="00915100">
        <w:rPr>
          <w:i/>
        </w:rPr>
        <w:t>see</w:t>
      </w:r>
      <w:proofErr w:type="gramEnd"/>
      <w:r w:rsidRPr="00915100">
        <w:rPr>
          <w:i/>
        </w:rPr>
        <w:t xml:space="preserve"> </w:t>
      </w:r>
      <w:r w:rsidRPr="00915100">
        <w:t>other entry (i.e. no punctuation between the words)</w:t>
      </w:r>
    </w:p>
    <w:p w14:paraId="7541806C" w14:textId="77777777" w:rsidR="00A33916" w:rsidRPr="00915100" w:rsidRDefault="00A33916" w:rsidP="00A33916">
      <w:pPr>
        <w:pStyle w:val="Text3"/>
        <w:ind w:left="720"/>
      </w:pPr>
      <w:r w:rsidRPr="00915100">
        <w:t xml:space="preserve">Sub-cross-references should </w:t>
      </w:r>
      <w:r w:rsidRPr="004C1F4F">
        <w:rPr>
          <w:i/>
          <w:iCs/>
        </w:rPr>
        <w:t>EITHER</w:t>
      </w:r>
      <w:r w:rsidRPr="00915100">
        <w:t xml:space="preserve"> be in the form</w:t>
      </w:r>
      <w:r>
        <w:t>:</w:t>
      </w:r>
    </w:p>
    <w:p w14:paraId="6CE89D74" w14:textId="77777777" w:rsidR="00A33916" w:rsidRDefault="00A33916" w:rsidP="00A33916">
      <w:pPr>
        <w:pStyle w:val="Text3"/>
        <w:ind w:firstLine="720"/>
      </w:pPr>
      <w:r w:rsidRPr="00915100">
        <w:t xml:space="preserve">main entry; </w:t>
      </w:r>
      <w:r w:rsidRPr="00915100">
        <w:rPr>
          <w:i/>
          <w:iCs/>
        </w:rPr>
        <w:t xml:space="preserve">see </w:t>
      </w:r>
      <w:r w:rsidRPr="004C1F4F">
        <w:rPr>
          <w:i/>
          <w:iCs/>
        </w:rPr>
        <w:t>also</w:t>
      </w:r>
      <w:r w:rsidRPr="00915100">
        <w:t xml:space="preserve"> sub-entry </w:t>
      </w:r>
    </w:p>
    <w:p w14:paraId="32ED4C79" w14:textId="77777777" w:rsidR="00A33916" w:rsidRPr="009338D0" w:rsidRDefault="00A33916" w:rsidP="00A33916">
      <w:pPr>
        <w:pStyle w:val="Text3"/>
        <w:ind w:left="720"/>
        <w:rPr>
          <w:i/>
          <w:iCs/>
        </w:rPr>
      </w:pPr>
      <w:r w:rsidRPr="009338D0">
        <w:rPr>
          <w:i/>
          <w:iCs/>
        </w:rPr>
        <w:t>OR</w:t>
      </w:r>
    </w:p>
    <w:p w14:paraId="549B95FF" w14:textId="77777777" w:rsidR="00A33916" w:rsidRPr="00915100" w:rsidRDefault="00A33916" w:rsidP="00A33916">
      <w:pPr>
        <w:pStyle w:val="Text3"/>
        <w:ind w:firstLine="720"/>
      </w:pPr>
      <w:r w:rsidRPr="00915100">
        <w:t>main entry</w:t>
      </w:r>
    </w:p>
    <w:p w14:paraId="6FD641E2" w14:textId="52F6DF98" w:rsidR="00A33916" w:rsidRPr="00915100" w:rsidRDefault="00A33916" w:rsidP="00A33916">
      <w:pPr>
        <w:pStyle w:val="Text3"/>
      </w:pPr>
      <w:r w:rsidRPr="00915100">
        <w:tab/>
      </w:r>
      <w:r>
        <w:tab/>
      </w:r>
      <w:r w:rsidRPr="00915100">
        <w:t>sub-entry</w:t>
      </w:r>
    </w:p>
    <w:p w14:paraId="09AA6AAC" w14:textId="63ECB0B8" w:rsidR="00A33916" w:rsidRPr="00915100" w:rsidRDefault="00A33916" w:rsidP="00A33916">
      <w:pPr>
        <w:pStyle w:val="Text3"/>
      </w:pPr>
      <w:r w:rsidRPr="00915100">
        <w:tab/>
      </w:r>
      <w:r>
        <w:tab/>
      </w:r>
      <w:r w:rsidRPr="00915100">
        <w:t>sub-entry</w:t>
      </w:r>
    </w:p>
    <w:p w14:paraId="2DDCFF43" w14:textId="7E6D572B" w:rsidR="00A33916" w:rsidRPr="00915100" w:rsidRDefault="00A33916" w:rsidP="00A33916">
      <w:pPr>
        <w:pStyle w:val="Text3"/>
      </w:pPr>
      <w:r w:rsidRPr="00915100">
        <w:tab/>
      </w:r>
      <w:r>
        <w:tab/>
      </w:r>
      <w:r w:rsidRPr="00915100">
        <w:rPr>
          <w:i/>
        </w:rPr>
        <w:t xml:space="preserve">see also </w:t>
      </w:r>
      <w:r w:rsidRPr="00915100">
        <w:t xml:space="preserve">another </w:t>
      </w:r>
      <w:r>
        <w:t xml:space="preserve">main </w:t>
      </w:r>
      <w:r w:rsidRPr="00915100">
        <w:t>entry</w:t>
      </w:r>
    </w:p>
    <w:p w14:paraId="12397101" w14:textId="77777777" w:rsidR="00A33916" w:rsidRPr="00915100" w:rsidRDefault="00A33916" w:rsidP="00A33916">
      <w:pPr>
        <w:pStyle w:val="Text3"/>
        <w:ind w:left="720"/>
      </w:pPr>
      <w:r w:rsidRPr="004C1F4F">
        <w:t>The first form is used where there are no sub</w:t>
      </w:r>
      <w:r>
        <w:t>-</w:t>
      </w:r>
      <w:r w:rsidRPr="004C1F4F">
        <w:t>entries, and in that case a semi-colon separate</w:t>
      </w:r>
      <w:r>
        <w:t>s</w:t>
      </w:r>
      <w:r w:rsidRPr="004C1F4F">
        <w:t xml:space="preserve"> the main entry from the cross-reference.</w:t>
      </w:r>
      <w:r>
        <w:t xml:space="preserve"> The second is used if </w:t>
      </w:r>
      <w:r w:rsidRPr="004C1F4F">
        <w:t>there are sub-entries</w:t>
      </w:r>
      <w:r>
        <w:t xml:space="preserve"> and no semi-colon is needed as the sub-entries begin on a new (indented) line.</w:t>
      </w:r>
    </w:p>
    <w:p w14:paraId="40B0E7AA" w14:textId="77777777" w:rsidR="00A33916" w:rsidRPr="00915100" w:rsidRDefault="00A33916" w:rsidP="00A33916">
      <w:pPr>
        <w:pStyle w:val="Text3"/>
        <w:numPr>
          <w:ilvl w:val="0"/>
          <w:numId w:val="4"/>
        </w:numPr>
      </w:pPr>
      <w:r w:rsidRPr="00915100">
        <w:t>Finally, a rather obvious point: please ensure that your index is in alphabetical order. It must be ordered EITHER word by word OR letter by letter</w:t>
      </w:r>
      <w:r>
        <w:t>;</w:t>
      </w:r>
      <w:r w:rsidRPr="00915100">
        <w:t xml:space="preserve"> please note at the top of the document which system has been used. In the word-by-word system, alphabetising proceeds up to the first space and then starts again. In the letter-by-</w:t>
      </w:r>
      <w:r w:rsidRPr="00915100">
        <w:lastRenderedPageBreak/>
        <w:t>letter system, alphabetising continues up to the first parenthesis or comma, ignoring spaces, hyphens, and other punctuation. (In the word-by-word method</w:t>
      </w:r>
      <w:r>
        <w:t>, for example,</w:t>
      </w:r>
      <w:r w:rsidRPr="00915100">
        <w:t xml:space="preserve"> Port Sunlight would precede </w:t>
      </w:r>
      <w:proofErr w:type="spellStart"/>
      <w:r w:rsidRPr="00915100">
        <w:t>Portinscale</w:t>
      </w:r>
      <w:proofErr w:type="spellEnd"/>
      <w:r w:rsidRPr="00915100">
        <w:t xml:space="preserve"> but in the letter-by-letter method </w:t>
      </w:r>
      <w:proofErr w:type="spellStart"/>
      <w:r w:rsidRPr="00915100">
        <w:t>Portinscale</w:t>
      </w:r>
      <w:proofErr w:type="spellEnd"/>
      <w:r w:rsidRPr="00915100">
        <w:t xml:space="preserve"> would precede Port Sunlight.)</w:t>
      </w:r>
    </w:p>
    <w:p w14:paraId="6596137A" w14:textId="121FBBD9" w:rsidR="00A33916" w:rsidRPr="00915100" w:rsidRDefault="00A33916" w:rsidP="00A33916">
      <w:pPr>
        <w:pStyle w:val="Text3"/>
        <w:rPr>
          <w:bCs/>
          <w:szCs w:val="22"/>
        </w:rPr>
      </w:pPr>
      <w:r w:rsidRPr="00915100">
        <w:rPr>
          <w:bCs/>
          <w:szCs w:val="22"/>
        </w:rPr>
        <w:t xml:space="preserve">If you are in doubt about any of this or require more information, please refer to the latest edition of Judith Butcher, </w:t>
      </w:r>
      <w:r w:rsidRPr="00915100">
        <w:rPr>
          <w:bCs/>
          <w:i/>
          <w:szCs w:val="22"/>
        </w:rPr>
        <w:t>Butcher</w:t>
      </w:r>
      <w:r>
        <w:rPr>
          <w:bCs/>
          <w:i/>
          <w:szCs w:val="22"/>
        </w:rPr>
        <w:t>’</w:t>
      </w:r>
      <w:r w:rsidRPr="00915100">
        <w:rPr>
          <w:bCs/>
          <w:i/>
          <w:szCs w:val="22"/>
        </w:rPr>
        <w:t xml:space="preserve">s Copy-editing: The Cambridge Handbook for Editors, Copy-editors and </w:t>
      </w:r>
      <w:proofErr w:type="spellStart"/>
      <w:r w:rsidRPr="00915100">
        <w:rPr>
          <w:bCs/>
          <w:i/>
          <w:szCs w:val="22"/>
        </w:rPr>
        <w:t>Proofreaders</w:t>
      </w:r>
      <w:proofErr w:type="spellEnd"/>
      <w:r w:rsidRPr="00915100" w:rsidDel="002857DD">
        <w:rPr>
          <w:bCs/>
          <w:i/>
          <w:szCs w:val="22"/>
        </w:rPr>
        <w:t xml:space="preserve"> </w:t>
      </w:r>
      <w:r w:rsidRPr="00915100">
        <w:rPr>
          <w:bCs/>
          <w:szCs w:val="22"/>
        </w:rPr>
        <w:t>(Cambridge University Press), available from most libraries.</w:t>
      </w:r>
    </w:p>
    <w:p w14:paraId="49762808" w14:textId="77777777" w:rsidR="00A33916" w:rsidRPr="00915100" w:rsidRDefault="00A33916" w:rsidP="00A33916">
      <w:pPr>
        <w:pStyle w:val="Text3"/>
        <w:rPr>
          <w:bCs/>
          <w:szCs w:val="22"/>
        </w:rPr>
      </w:pPr>
      <w:r w:rsidRPr="00915100">
        <w:rPr>
          <w:bCs/>
          <w:szCs w:val="22"/>
        </w:rPr>
        <w:t>Please contact your Desk Editor if you are having difficulty.</w:t>
      </w:r>
    </w:p>
    <w:p w14:paraId="6D294E90" w14:textId="00CC5E49" w:rsidR="00A33916" w:rsidRDefault="00A33916" w:rsidP="00A33916">
      <w:pPr>
        <w:pStyle w:val="Text3"/>
      </w:pPr>
    </w:p>
    <w:p w14:paraId="3B49DA1B" w14:textId="1B411182" w:rsidR="00A33916" w:rsidRDefault="00A33916">
      <w:pPr>
        <w:spacing w:line="259" w:lineRule="auto"/>
        <w:rPr>
          <w:rFonts w:ascii="Palatino Linotype" w:hAnsi="Palatino Linotype"/>
          <w:lang w:val="en-GB"/>
        </w:rPr>
      </w:pPr>
      <w:r>
        <w:br w:type="page"/>
      </w:r>
    </w:p>
    <w:p w14:paraId="2A49630C" w14:textId="305BA526" w:rsidR="00A33916" w:rsidRDefault="00A33916" w:rsidP="00A33916">
      <w:pPr>
        <w:pStyle w:val="Heading2"/>
      </w:pPr>
      <w:r>
        <w:lastRenderedPageBreak/>
        <w:t xml:space="preserve">Sample </w:t>
      </w:r>
      <w:r w:rsidR="005503B4">
        <w:t>i</w:t>
      </w:r>
      <w:r>
        <w:t xml:space="preserve">ndex </w:t>
      </w:r>
      <w:r w:rsidR="005503B4">
        <w:t>p</w:t>
      </w:r>
      <w:r>
        <w:t>ages</w:t>
      </w:r>
    </w:p>
    <w:p w14:paraId="6E56FA1F" w14:textId="77777777" w:rsidR="00A33916" w:rsidRDefault="00A33916" w:rsidP="00A33916">
      <w:pPr>
        <w:pStyle w:val="Text3"/>
      </w:pPr>
    </w:p>
    <w:p w14:paraId="25FBBFAF" w14:textId="5CB6DD5C" w:rsidR="00A33916" w:rsidRDefault="00A33916" w:rsidP="00AE2A0F">
      <w:pPr>
        <w:pStyle w:val="Text3"/>
      </w:pPr>
      <w:r>
        <w:t>Index is ordered word-by-word</w:t>
      </w:r>
    </w:p>
    <w:p w14:paraId="45F5669A" w14:textId="77777777" w:rsidR="00A33916" w:rsidRDefault="00A33916" w:rsidP="00AE2A0F">
      <w:pPr>
        <w:pStyle w:val="Text3"/>
      </w:pPr>
      <w:r>
        <w:rPr>
          <w:i/>
          <w:iCs/>
        </w:rPr>
        <w:t>Italic</w:t>
      </w:r>
      <w:r>
        <w:t xml:space="preserve"> page numbers indicate illustrations</w:t>
      </w:r>
    </w:p>
    <w:p w14:paraId="726E0D77" w14:textId="77777777" w:rsidR="00A33916" w:rsidRDefault="00A33916" w:rsidP="00AE2A0F">
      <w:pPr>
        <w:pStyle w:val="Text3"/>
      </w:pPr>
    </w:p>
    <w:p w14:paraId="0307812D" w14:textId="77777777" w:rsidR="00A33916" w:rsidRDefault="00A33916" w:rsidP="00AE2A0F">
      <w:pPr>
        <w:pStyle w:val="Text3"/>
      </w:pPr>
      <w:r>
        <w:t>adjacency</w:t>
      </w:r>
      <w:r>
        <w:rPr>
          <w:highlight w:val="yellow"/>
        </w:rPr>
        <w:t>,</w:t>
      </w:r>
      <w:r>
        <w:t xml:space="preserve"> </w:t>
      </w:r>
      <w:proofErr w:type="gramStart"/>
      <w:r>
        <w:t xml:space="preserve">71  </w:t>
      </w:r>
      <w:r>
        <w:rPr>
          <w:highlight w:val="cyan"/>
        </w:rPr>
        <w:t>the</w:t>
      </w:r>
      <w:proofErr w:type="gramEnd"/>
      <w:r>
        <w:rPr>
          <w:highlight w:val="cyan"/>
        </w:rPr>
        <w:t xml:space="preserve"> headword is separated from the page references by a comma</w:t>
      </w:r>
    </w:p>
    <w:p w14:paraId="51F34109" w14:textId="77777777" w:rsidR="00A33916" w:rsidRDefault="00A33916" w:rsidP="00AE2A0F">
      <w:pPr>
        <w:pStyle w:val="Text3"/>
        <w:rPr>
          <w:szCs w:val="22"/>
        </w:rPr>
      </w:pPr>
      <w:r>
        <w:rPr>
          <w:szCs w:val="22"/>
        </w:rPr>
        <w:t xml:space="preserve">adjectives, 488, </w:t>
      </w:r>
      <w:r>
        <w:rPr>
          <w:szCs w:val="22"/>
          <w:highlight w:val="yellow"/>
        </w:rPr>
        <w:t>566–</w:t>
      </w:r>
      <w:proofErr w:type="gramStart"/>
      <w:r>
        <w:rPr>
          <w:szCs w:val="22"/>
          <w:highlight w:val="yellow"/>
        </w:rPr>
        <w:t>7</w:t>
      </w:r>
      <w:r>
        <w:rPr>
          <w:szCs w:val="22"/>
        </w:rPr>
        <w:t xml:space="preserve">  </w:t>
      </w:r>
      <w:r>
        <w:rPr>
          <w:szCs w:val="22"/>
          <w:highlight w:val="cyan"/>
        </w:rPr>
        <w:t>note</w:t>
      </w:r>
      <w:proofErr w:type="gramEnd"/>
      <w:r>
        <w:rPr>
          <w:szCs w:val="22"/>
          <w:highlight w:val="cyan"/>
        </w:rPr>
        <w:t xml:space="preserve"> elision of page numbers</w:t>
      </w:r>
    </w:p>
    <w:p w14:paraId="7C12DE1F" w14:textId="77777777" w:rsidR="00A33916" w:rsidRDefault="00A33916" w:rsidP="00AE2A0F">
      <w:pPr>
        <w:pStyle w:val="Text3"/>
        <w:rPr>
          <w:szCs w:val="22"/>
        </w:rPr>
      </w:pPr>
      <w:r>
        <w:rPr>
          <w:szCs w:val="22"/>
        </w:rPr>
        <w:t>adverbial function, 489, 497–8</w:t>
      </w:r>
    </w:p>
    <w:p w14:paraId="7AE032A9" w14:textId="77777777" w:rsidR="00A33916" w:rsidRDefault="00A33916" w:rsidP="00AE2A0F">
      <w:pPr>
        <w:pStyle w:val="Text3"/>
        <w:rPr>
          <w:szCs w:val="22"/>
        </w:rPr>
      </w:pPr>
      <w:r>
        <w:rPr>
          <w:szCs w:val="22"/>
        </w:rPr>
        <w:t>adverbs, 488–9, 566–7</w:t>
      </w:r>
    </w:p>
    <w:p w14:paraId="060470B7" w14:textId="77777777" w:rsidR="00A33916" w:rsidRDefault="00A33916" w:rsidP="00AE2A0F">
      <w:pPr>
        <w:pStyle w:val="Text3"/>
        <w:rPr>
          <w:szCs w:val="22"/>
          <w:highlight w:val="cyan"/>
        </w:rPr>
      </w:pPr>
      <w:r>
        <w:rPr>
          <w:szCs w:val="22"/>
        </w:rPr>
        <w:t xml:space="preserve">Æ </w:t>
      </w:r>
      <w:r>
        <w:rPr>
          <w:i/>
          <w:iCs/>
          <w:szCs w:val="22"/>
        </w:rPr>
        <w:t>see</w:t>
      </w:r>
      <w:r>
        <w:rPr>
          <w:szCs w:val="22"/>
        </w:rPr>
        <w:t xml:space="preserve"> Russell, George William (</w:t>
      </w:r>
      <w:proofErr w:type="gramStart"/>
      <w:r>
        <w:rPr>
          <w:szCs w:val="22"/>
        </w:rPr>
        <w:t xml:space="preserve">Æ) </w:t>
      </w:r>
      <w:r>
        <w:rPr>
          <w:szCs w:val="22"/>
          <w:highlight w:val="cyan"/>
        </w:rPr>
        <w:t xml:space="preserve"> note</w:t>
      </w:r>
      <w:proofErr w:type="gramEnd"/>
      <w:r>
        <w:rPr>
          <w:szCs w:val="22"/>
          <w:highlight w:val="cyan"/>
        </w:rPr>
        <w:t xml:space="preserve"> there is no comma after the headword in ‘</w:t>
      </w:r>
      <w:r>
        <w:rPr>
          <w:i/>
          <w:iCs/>
          <w:szCs w:val="22"/>
          <w:highlight w:val="cyan"/>
        </w:rPr>
        <w:t>see</w:t>
      </w:r>
      <w:r>
        <w:rPr>
          <w:szCs w:val="22"/>
          <w:highlight w:val="cyan"/>
        </w:rPr>
        <w:t>’ cross references</w:t>
      </w:r>
    </w:p>
    <w:p w14:paraId="7364BE92" w14:textId="77777777" w:rsidR="00A33916" w:rsidRDefault="00A33916" w:rsidP="00AE2A0F">
      <w:pPr>
        <w:pStyle w:val="Text3"/>
        <w:rPr>
          <w:szCs w:val="22"/>
        </w:rPr>
      </w:pPr>
      <w:r>
        <w:rPr>
          <w:szCs w:val="22"/>
        </w:rPr>
        <w:t>affect, 11</w:t>
      </w:r>
    </w:p>
    <w:p w14:paraId="7AEFD9AD" w14:textId="77777777" w:rsidR="00A33916" w:rsidRDefault="00A33916" w:rsidP="00AE2A0F">
      <w:pPr>
        <w:pStyle w:val="Text3"/>
        <w:rPr>
          <w:szCs w:val="22"/>
        </w:rPr>
      </w:pPr>
      <w:r>
        <w:rPr>
          <w:szCs w:val="22"/>
        </w:rPr>
        <w:t xml:space="preserve">affixes, 485, 591, </w:t>
      </w:r>
      <w:r>
        <w:rPr>
          <w:i/>
          <w:iCs/>
          <w:szCs w:val="22"/>
          <w:highlight w:val="yellow"/>
        </w:rPr>
        <w:t>612–</w:t>
      </w:r>
      <w:proofErr w:type="gramStart"/>
      <w:r>
        <w:rPr>
          <w:i/>
          <w:iCs/>
          <w:szCs w:val="22"/>
          <w:highlight w:val="yellow"/>
        </w:rPr>
        <w:t>13</w:t>
      </w:r>
      <w:r>
        <w:rPr>
          <w:iCs/>
          <w:szCs w:val="22"/>
        </w:rPr>
        <w:t xml:space="preserve">  </w:t>
      </w:r>
      <w:r>
        <w:rPr>
          <w:szCs w:val="22"/>
          <w:highlight w:val="cyan"/>
        </w:rPr>
        <w:t>note</w:t>
      </w:r>
      <w:proofErr w:type="gramEnd"/>
      <w:r>
        <w:rPr>
          <w:szCs w:val="22"/>
          <w:highlight w:val="cyan"/>
        </w:rPr>
        <w:t xml:space="preserve"> elision of page numbers for numbers in ‘teens</w:t>
      </w:r>
    </w:p>
    <w:p w14:paraId="5E7EBEC0" w14:textId="77777777" w:rsidR="00A33916" w:rsidRDefault="00A33916" w:rsidP="00AE2A0F">
      <w:pPr>
        <w:pStyle w:val="Text3"/>
        <w:rPr>
          <w:szCs w:val="22"/>
        </w:rPr>
      </w:pPr>
      <w:r>
        <w:rPr>
          <w:szCs w:val="22"/>
        </w:rPr>
        <w:t>African languages, 719</w:t>
      </w:r>
    </w:p>
    <w:p w14:paraId="3F68C429" w14:textId="77777777" w:rsidR="00A33916" w:rsidRDefault="00A33916" w:rsidP="00AE2A0F">
      <w:pPr>
        <w:pStyle w:val="Text3"/>
        <w:rPr>
          <w:szCs w:val="22"/>
        </w:rPr>
      </w:pPr>
      <w:r>
        <w:rPr>
          <w:szCs w:val="22"/>
        </w:rPr>
        <w:t>agent, 37–8, 39, 42, 197, 540, 675</w:t>
      </w:r>
    </w:p>
    <w:p w14:paraId="313A2EC3" w14:textId="77777777" w:rsidR="00A33916" w:rsidRDefault="00A33916" w:rsidP="00AE2A0F">
      <w:pPr>
        <w:pStyle w:val="Text3"/>
        <w:rPr>
          <w:szCs w:val="22"/>
        </w:rPr>
      </w:pPr>
      <w:r>
        <w:rPr>
          <w:szCs w:val="22"/>
        </w:rPr>
        <w:t xml:space="preserve">agreement, </w:t>
      </w:r>
      <w:r>
        <w:rPr>
          <w:szCs w:val="22"/>
          <w:highlight w:val="yellow"/>
        </w:rPr>
        <w:t>498–500</w:t>
      </w:r>
      <w:r>
        <w:rPr>
          <w:szCs w:val="22"/>
        </w:rPr>
        <w:t>, 593–4, 751–</w:t>
      </w:r>
      <w:proofErr w:type="gramStart"/>
      <w:r>
        <w:rPr>
          <w:szCs w:val="22"/>
        </w:rPr>
        <w:t xml:space="preserve">2  </w:t>
      </w:r>
      <w:r>
        <w:rPr>
          <w:szCs w:val="22"/>
          <w:highlight w:val="cyan"/>
        </w:rPr>
        <w:t>note</w:t>
      </w:r>
      <w:proofErr w:type="gramEnd"/>
      <w:r>
        <w:rPr>
          <w:szCs w:val="22"/>
          <w:highlight w:val="cyan"/>
        </w:rPr>
        <w:t xml:space="preserve"> elision of page numbers</w:t>
      </w:r>
    </w:p>
    <w:p w14:paraId="2020CED3" w14:textId="77777777" w:rsidR="00A33916" w:rsidRDefault="00A33916" w:rsidP="00AE2A0F">
      <w:pPr>
        <w:pStyle w:val="Text3"/>
        <w:rPr>
          <w:szCs w:val="22"/>
        </w:rPr>
      </w:pPr>
      <w:r>
        <w:rPr>
          <w:szCs w:val="22"/>
        </w:rPr>
        <w:t>Akhtar, N., 140</w:t>
      </w:r>
    </w:p>
    <w:p w14:paraId="25AB4248" w14:textId="77777777" w:rsidR="00A33916" w:rsidRDefault="00A33916" w:rsidP="00AE2A0F">
      <w:pPr>
        <w:pStyle w:val="Text3"/>
        <w:rPr>
          <w:szCs w:val="22"/>
        </w:rPr>
      </w:pPr>
      <w:r>
        <w:rPr>
          <w:szCs w:val="22"/>
        </w:rPr>
        <w:t>alpha rhythm, 778</w:t>
      </w:r>
    </w:p>
    <w:p w14:paraId="361A7E87" w14:textId="77777777" w:rsidR="00A33916" w:rsidRDefault="00A33916" w:rsidP="00AE2A0F">
      <w:pPr>
        <w:pStyle w:val="Text3"/>
        <w:rPr>
          <w:szCs w:val="22"/>
        </w:rPr>
      </w:pPr>
      <w:r>
        <w:rPr>
          <w:szCs w:val="22"/>
        </w:rPr>
        <w:t xml:space="preserve">ambiguity, 113, 329, 379, 381, </w:t>
      </w:r>
      <w:proofErr w:type="gramStart"/>
      <w:r>
        <w:rPr>
          <w:i/>
          <w:iCs/>
          <w:szCs w:val="22"/>
          <w:highlight w:val="yellow"/>
        </w:rPr>
        <w:t>398</w:t>
      </w:r>
      <w:r>
        <w:rPr>
          <w:highlight w:val="cyan"/>
        </w:rPr>
        <w:t xml:space="preserve">  </w:t>
      </w:r>
      <w:r>
        <w:rPr>
          <w:szCs w:val="22"/>
          <w:highlight w:val="cyan"/>
        </w:rPr>
        <w:t>note</w:t>
      </w:r>
      <w:proofErr w:type="gramEnd"/>
      <w:r>
        <w:rPr>
          <w:szCs w:val="22"/>
          <w:highlight w:val="cyan"/>
        </w:rPr>
        <w:t xml:space="preserve"> italics, indicating an illustration</w:t>
      </w:r>
    </w:p>
    <w:p w14:paraId="3174C7A0" w14:textId="77777777" w:rsidR="00A33916" w:rsidRDefault="00A33916" w:rsidP="00AE2A0F">
      <w:pPr>
        <w:pStyle w:val="Text3"/>
        <w:rPr>
          <w:szCs w:val="22"/>
        </w:rPr>
      </w:pPr>
      <w:proofErr w:type="spellStart"/>
      <w:r>
        <w:rPr>
          <w:szCs w:val="22"/>
        </w:rPr>
        <w:t>amodal</w:t>
      </w:r>
      <w:proofErr w:type="spellEnd"/>
      <w:r>
        <w:rPr>
          <w:szCs w:val="22"/>
        </w:rPr>
        <w:t xml:space="preserve"> view, 242</w:t>
      </w:r>
    </w:p>
    <w:p w14:paraId="681B2302" w14:textId="77777777" w:rsidR="00A33916" w:rsidRDefault="00A33916" w:rsidP="00AE2A0F">
      <w:pPr>
        <w:pStyle w:val="Text3"/>
        <w:rPr>
          <w:color w:val="000000"/>
          <w:szCs w:val="22"/>
        </w:rPr>
      </w:pPr>
      <w:r>
        <w:rPr>
          <w:szCs w:val="22"/>
        </w:rPr>
        <w:t>analogy, 98–9, 423</w:t>
      </w:r>
      <w:r>
        <w:rPr>
          <w:szCs w:val="22"/>
          <w:highlight w:val="yellow"/>
        </w:rPr>
        <w:t xml:space="preserve">; </w:t>
      </w:r>
      <w:r>
        <w:rPr>
          <w:i/>
          <w:iCs/>
          <w:szCs w:val="22"/>
          <w:highlight w:val="yellow"/>
        </w:rPr>
        <w:t>see also</w:t>
      </w:r>
      <w:r>
        <w:rPr>
          <w:szCs w:val="22"/>
        </w:rPr>
        <w:t xml:space="preserve"> </w:t>
      </w:r>
      <w:proofErr w:type="gramStart"/>
      <w:r>
        <w:rPr>
          <w:szCs w:val="22"/>
        </w:rPr>
        <w:t xml:space="preserve">disanalogy </w:t>
      </w:r>
      <w:r>
        <w:rPr>
          <w:color w:val="000000"/>
          <w:szCs w:val="22"/>
        </w:rPr>
        <w:t xml:space="preserve"> </w:t>
      </w:r>
      <w:r>
        <w:rPr>
          <w:color w:val="000000"/>
          <w:szCs w:val="22"/>
          <w:highlight w:val="cyan"/>
        </w:rPr>
        <w:t>if</w:t>
      </w:r>
      <w:proofErr w:type="gramEnd"/>
      <w:r>
        <w:rPr>
          <w:color w:val="000000"/>
          <w:szCs w:val="22"/>
          <w:highlight w:val="cyan"/>
        </w:rPr>
        <w:t xml:space="preserve"> there are no sub-entries,  ‘</w:t>
      </w:r>
      <w:r>
        <w:rPr>
          <w:i/>
          <w:iCs/>
          <w:color w:val="000000"/>
          <w:szCs w:val="22"/>
          <w:highlight w:val="cyan"/>
        </w:rPr>
        <w:t>see also</w:t>
      </w:r>
      <w:r>
        <w:rPr>
          <w:color w:val="000000"/>
          <w:szCs w:val="22"/>
          <w:highlight w:val="cyan"/>
        </w:rPr>
        <w:t xml:space="preserve">’ follows on from the main entry after a semi-colon; if there </w:t>
      </w:r>
      <w:r>
        <w:rPr>
          <w:bCs/>
          <w:color w:val="000000"/>
          <w:szCs w:val="22"/>
          <w:highlight w:val="cyan"/>
        </w:rPr>
        <w:t>are</w:t>
      </w:r>
      <w:r>
        <w:rPr>
          <w:color w:val="000000"/>
          <w:szCs w:val="22"/>
          <w:highlight w:val="cyan"/>
        </w:rPr>
        <w:t xml:space="preserve"> sub-entries, ‘</w:t>
      </w:r>
      <w:r>
        <w:rPr>
          <w:i/>
          <w:iCs/>
          <w:color w:val="000000"/>
          <w:szCs w:val="22"/>
          <w:highlight w:val="cyan"/>
        </w:rPr>
        <w:t>see also</w:t>
      </w:r>
      <w:r>
        <w:rPr>
          <w:color w:val="000000"/>
          <w:szCs w:val="22"/>
          <w:highlight w:val="cyan"/>
        </w:rPr>
        <w:t xml:space="preserve">’ follows at the end of the list of sub-entries </w:t>
      </w:r>
      <w:r>
        <w:rPr>
          <w:szCs w:val="22"/>
          <w:highlight w:val="cyan"/>
        </w:rPr>
        <w:t>(compare with ‘bodies’, below)</w:t>
      </w:r>
    </w:p>
    <w:p w14:paraId="741AF46A" w14:textId="77777777" w:rsidR="00A33916" w:rsidRDefault="00A33916" w:rsidP="00AE2A0F">
      <w:pPr>
        <w:pStyle w:val="Text3"/>
        <w:rPr>
          <w:szCs w:val="22"/>
        </w:rPr>
      </w:pPr>
      <w:r>
        <w:rPr>
          <w:szCs w:val="22"/>
        </w:rPr>
        <w:t>analysis (parsing), 698–9</w:t>
      </w:r>
    </w:p>
    <w:p w14:paraId="491F8DE7" w14:textId="77777777" w:rsidR="00A33916" w:rsidRDefault="00A33916" w:rsidP="00AE2A0F">
      <w:pPr>
        <w:pStyle w:val="Text3"/>
        <w:rPr>
          <w:szCs w:val="22"/>
        </w:rPr>
      </w:pPr>
      <w:r>
        <w:rPr>
          <w:szCs w:val="22"/>
        </w:rPr>
        <w:t xml:space="preserve">Anderson, </w:t>
      </w:r>
      <w:r>
        <w:rPr>
          <w:szCs w:val="22"/>
          <w:highlight w:val="yellow"/>
        </w:rPr>
        <w:t>L. B.</w:t>
      </w:r>
      <w:r>
        <w:rPr>
          <w:szCs w:val="22"/>
        </w:rPr>
        <w:t xml:space="preserve">, </w:t>
      </w:r>
      <w:proofErr w:type="gramStart"/>
      <w:r>
        <w:rPr>
          <w:szCs w:val="22"/>
        </w:rPr>
        <w:t xml:space="preserve">773  </w:t>
      </w:r>
      <w:r>
        <w:rPr>
          <w:szCs w:val="22"/>
          <w:highlight w:val="cyan"/>
        </w:rPr>
        <w:t>initials</w:t>
      </w:r>
      <w:proofErr w:type="gramEnd"/>
      <w:r>
        <w:rPr>
          <w:szCs w:val="22"/>
          <w:highlight w:val="cyan"/>
        </w:rPr>
        <w:t xml:space="preserve"> should be spaced</w:t>
      </w:r>
    </w:p>
    <w:p w14:paraId="5A93B973" w14:textId="77777777" w:rsidR="00A33916" w:rsidRDefault="00A33916" w:rsidP="00AE2A0F">
      <w:pPr>
        <w:pStyle w:val="Text3"/>
        <w:rPr>
          <w:szCs w:val="22"/>
        </w:rPr>
      </w:pPr>
      <w:r>
        <w:rPr>
          <w:szCs w:val="22"/>
        </w:rPr>
        <w:t>antecedent, 376</w:t>
      </w:r>
    </w:p>
    <w:p w14:paraId="703E4525" w14:textId="77777777" w:rsidR="00A33916" w:rsidRDefault="00A33916" w:rsidP="00AE2A0F">
      <w:pPr>
        <w:pStyle w:val="Text3"/>
        <w:rPr>
          <w:szCs w:val="22"/>
        </w:rPr>
      </w:pPr>
      <w:r>
        <w:rPr>
          <w:szCs w:val="22"/>
        </w:rPr>
        <w:t>anthropomorphism, 417</w:t>
      </w:r>
    </w:p>
    <w:p w14:paraId="1FEF8A83" w14:textId="77777777" w:rsidR="00A33916" w:rsidRDefault="00A33916" w:rsidP="00AE2A0F">
      <w:pPr>
        <w:pStyle w:val="Text3"/>
        <w:rPr>
          <w:szCs w:val="22"/>
        </w:rPr>
      </w:pPr>
      <w:r>
        <w:rPr>
          <w:szCs w:val="22"/>
        </w:rPr>
        <w:t>antonymy, 209</w:t>
      </w:r>
    </w:p>
    <w:p w14:paraId="43A196FC" w14:textId="77777777" w:rsidR="00A33916" w:rsidRDefault="00A33916" w:rsidP="00AE2A0F">
      <w:pPr>
        <w:pStyle w:val="Text3"/>
        <w:rPr>
          <w:szCs w:val="22"/>
        </w:rPr>
      </w:pPr>
      <w:r>
        <w:rPr>
          <w:szCs w:val="22"/>
        </w:rPr>
        <w:t>aphasia, 745, 772–3*</w:t>
      </w:r>
    </w:p>
    <w:p w14:paraId="292A21C2" w14:textId="77777777" w:rsidR="00A33916" w:rsidRDefault="00A33916" w:rsidP="00AE2A0F">
      <w:pPr>
        <w:pStyle w:val="Text3"/>
        <w:rPr>
          <w:szCs w:val="22"/>
        </w:rPr>
      </w:pPr>
      <w:r>
        <w:rPr>
          <w:szCs w:val="22"/>
        </w:rPr>
        <w:t>aspect, 387–9, 490–1, 519, 523–4, 615, 634–7, 767–9</w:t>
      </w:r>
    </w:p>
    <w:p w14:paraId="505DCBA5" w14:textId="77777777" w:rsidR="00A33916" w:rsidRDefault="00A33916" w:rsidP="00AE2A0F">
      <w:pPr>
        <w:pStyle w:val="Text3"/>
        <w:rPr>
          <w:szCs w:val="22"/>
        </w:rPr>
      </w:pPr>
      <w:r>
        <w:rPr>
          <w:szCs w:val="22"/>
        </w:rPr>
        <w:t xml:space="preserve">atemporal relations, 563, 565–70, </w:t>
      </w:r>
      <w:r>
        <w:rPr>
          <w:i/>
          <w:iCs/>
          <w:szCs w:val="22"/>
        </w:rPr>
        <w:t>579–80</w:t>
      </w:r>
      <w:r>
        <w:rPr>
          <w:szCs w:val="22"/>
        </w:rPr>
        <w:t>, 619, 620, 621, 629, 630</w:t>
      </w:r>
    </w:p>
    <w:p w14:paraId="395A4D50" w14:textId="77777777" w:rsidR="00A33916" w:rsidRDefault="00A33916" w:rsidP="00AE2A0F">
      <w:pPr>
        <w:pStyle w:val="Text3"/>
        <w:rPr>
          <w:szCs w:val="22"/>
        </w:rPr>
      </w:pPr>
      <w:r>
        <w:rPr>
          <w:szCs w:val="22"/>
        </w:rPr>
        <w:t>Atkins, B. T., 358</w:t>
      </w:r>
    </w:p>
    <w:p w14:paraId="5854BDC5" w14:textId="77777777" w:rsidR="00A33916" w:rsidRDefault="00A33916" w:rsidP="00AE2A0F">
      <w:pPr>
        <w:pStyle w:val="Text3"/>
        <w:rPr>
          <w:szCs w:val="22"/>
        </w:rPr>
      </w:pPr>
      <w:r>
        <w:rPr>
          <w:szCs w:val="22"/>
        </w:rPr>
        <w:t>attentional system, 41–3, 198–9, 526–7, 535–44</w:t>
      </w:r>
    </w:p>
    <w:p w14:paraId="460101E3" w14:textId="77777777" w:rsidR="00A33916" w:rsidRDefault="00A33916" w:rsidP="00AE2A0F">
      <w:pPr>
        <w:pStyle w:val="Text3"/>
        <w:rPr>
          <w:szCs w:val="22"/>
        </w:rPr>
      </w:pPr>
      <w:r>
        <w:rPr>
          <w:szCs w:val="22"/>
        </w:rPr>
        <w:t>attributes (cues), 223–4, 257–8, 267</w:t>
      </w:r>
    </w:p>
    <w:p w14:paraId="2FB23AB5" w14:textId="77777777" w:rsidR="00A33916" w:rsidRDefault="00A33916" w:rsidP="00AE2A0F">
      <w:pPr>
        <w:pStyle w:val="Text3"/>
        <w:rPr>
          <w:szCs w:val="22"/>
        </w:rPr>
      </w:pPr>
      <w:r>
        <w:rPr>
          <w:szCs w:val="22"/>
        </w:rPr>
        <w:lastRenderedPageBreak/>
        <w:t xml:space="preserve">autonomy, 353, </w:t>
      </w:r>
      <w:r>
        <w:rPr>
          <w:i/>
          <w:iCs/>
          <w:szCs w:val="22"/>
        </w:rPr>
        <w:t>613</w:t>
      </w:r>
    </w:p>
    <w:p w14:paraId="6382F20A" w14:textId="77777777" w:rsidR="00A33916" w:rsidRDefault="00A33916" w:rsidP="00AE2A0F">
      <w:pPr>
        <w:pStyle w:val="Text3"/>
        <w:ind w:firstLine="720"/>
        <w:rPr>
          <w:szCs w:val="22"/>
        </w:rPr>
      </w:pPr>
      <w:r>
        <w:rPr>
          <w:szCs w:val="22"/>
        </w:rPr>
        <w:t>conceptual, 585–</w:t>
      </w:r>
      <w:proofErr w:type="gramStart"/>
      <w:r>
        <w:rPr>
          <w:szCs w:val="22"/>
        </w:rPr>
        <w:t xml:space="preserve">7  </w:t>
      </w:r>
      <w:r>
        <w:rPr>
          <w:szCs w:val="22"/>
          <w:highlight w:val="cyan"/>
        </w:rPr>
        <w:t>sub</w:t>
      </w:r>
      <w:proofErr w:type="gramEnd"/>
      <w:r>
        <w:rPr>
          <w:szCs w:val="22"/>
          <w:highlight w:val="cyan"/>
        </w:rPr>
        <w:t>-entries are indented</w:t>
      </w:r>
    </w:p>
    <w:p w14:paraId="318C63FE" w14:textId="77777777" w:rsidR="00A33916" w:rsidRDefault="00A33916" w:rsidP="00AE2A0F">
      <w:pPr>
        <w:pStyle w:val="Text3"/>
        <w:ind w:firstLine="720"/>
        <w:rPr>
          <w:szCs w:val="22"/>
        </w:rPr>
      </w:pPr>
      <w:r>
        <w:rPr>
          <w:szCs w:val="22"/>
        </w:rPr>
        <w:t>phonological, 590–1</w:t>
      </w:r>
    </w:p>
    <w:p w14:paraId="71E4D280" w14:textId="77777777" w:rsidR="00A33916" w:rsidRDefault="00A33916" w:rsidP="00AE2A0F">
      <w:pPr>
        <w:pStyle w:val="Text3"/>
        <w:ind w:firstLine="720"/>
        <w:rPr>
          <w:szCs w:val="22"/>
        </w:rPr>
      </w:pPr>
      <w:r>
        <w:rPr>
          <w:szCs w:val="22"/>
        </w:rPr>
        <w:t>syntax, 752, 753</w:t>
      </w:r>
    </w:p>
    <w:p w14:paraId="726C606C" w14:textId="77777777" w:rsidR="00A33916" w:rsidRDefault="00A33916" w:rsidP="00AE2A0F">
      <w:pPr>
        <w:pStyle w:val="Text3"/>
        <w:rPr>
          <w:szCs w:val="22"/>
        </w:rPr>
      </w:pPr>
      <w:r>
        <w:rPr>
          <w:szCs w:val="22"/>
        </w:rPr>
        <w:t>auxiliary verbs, 388, 490–2, 730–2</w:t>
      </w:r>
    </w:p>
    <w:p w14:paraId="42BC0D0A" w14:textId="77777777" w:rsidR="00A33916" w:rsidRDefault="00A33916" w:rsidP="00AE2A0F">
      <w:pPr>
        <w:pStyle w:val="Text3"/>
        <w:rPr>
          <w:szCs w:val="22"/>
        </w:rPr>
      </w:pPr>
      <w:r>
        <w:rPr>
          <w:szCs w:val="22"/>
        </w:rPr>
        <w:t>Aymara (South America), 92–</w:t>
      </w:r>
      <w:proofErr w:type="gramStart"/>
      <w:r>
        <w:rPr>
          <w:szCs w:val="22"/>
        </w:rPr>
        <w:t xml:space="preserve">4  </w:t>
      </w:r>
      <w:r>
        <w:rPr>
          <w:szCs w:val="22"/>
          <w:highlight w:val="cyan"/>
        </w:rPr>
        <w:t>note</w:t>
      </w:r>
      <w:proofErr w:type="gramEnd"/>
      <w:r>
        <w:rPr>
          <w:szCs w:val="22"/>
          <w:highlight w:val="cyan"/>
        </w:rPr>
        <w:t xml:space="preserve"> line space between letters</w:t>
      </w:r>
    </w:p>
    <w:p w14:paraId="434D1193" w14:textId="77777777" w:rsidR="00A33916" w:rsidRDefault="00A33916" w:rsidP="00AE2A0F">
      <w:pPr>
        <w:pStyle w:val="Text3"/>
        <w:rPr>
          <w:szCs w:val="22"/>
        </w:rPr>
      </w:pPr>
    </w:p>
    <w:p w14:paraId="7EA7FF2D" w14:textId="77777777" w:rsidR="00A33916" w:rsidRDefault="00A33916" w:rsidP="00AE2A0F">
      <w:pPr>
        <w:pStyle w:val="Text3"/>
        <w:rPr>
          <w:szCs w:val="22"/>
        </w:rPr>
      </w:pPr>
      <w:r>
        <w:rPr>
          <w:szCs w:val="22"/>
        </w:rPr>
        <w:t>bodies</w:t>
      </w:r>
      <w:r>
        <w:t xml:space="preserve"> </w:t>
      </w:r>
    </w:p>
    <w:p w14:paraId="0DF56C31" w14:textId="77777777" w:rsidR="00A33916" w:rsidRDefault="00A33916" w:rsidP="00AE2A0F">
      <w:pPr>
        <w:pStyle w:val="Text3"/>
        <w:ind w:firstLine="720"/>
        <w:rPr>
          <w:szCs w:val="22"/>
        </w:rPr>
      </w:pPr>
      <w:r>
        <w:rPr>
          <w:szCs w:val="22"/>
        </w:rPr>
        <w:t>gender and transvestism, 369, 371, 372</w:t>
      </w:r>
    </w:p>
    <w:p w14:paraId="1B445D9C" w14:textId="77777777" w:rsidR="00A33916" w:rsidRDefault="00A33916" w:rsidP="00AE2A0F">
      <w:pPr>
        <w:pStyle w:val="Text3"/>
        <w:ind w:firstLine="720"/>
        <w:rPr>
          <w:szCs w:val="22"/>
        </w:rPr>
      </w:pPr>
      <w:r>
        <w:rPr>
          <w:szCs w:val="22"/>
        </w:rPr>
        <w:t xml:space="preserve">portraiture, 162, 166, 168, 171–4, </w:t>
      </w:r>
      <w:r>
        <w:rPr>
          <w:i/>
          <w:iCs/>
          <w:szCs w:val="22"/>
        </w:rPr>
        <w:t xml:space="preserve">Plate </w:t>
      </w:r>
      <w:proofErr w:type="gramStart"/>
      <w:r>
        <w:rPr>
          <w:i/>
          <w:iCs/>
          <w:szCs w:val="22"/>
        </w:rPr>
        <w:t>2</w:t>
      </w:r>
      <w:r>
        <w:rPr>
          <w:szCs w:val="22"/>
        </w:rPr>
        <w:t xml:space="preserve">  </w:t>
      </w:r>
      <w:r>
        <w:rPr>
          <w:szCs w:val="22"/>
          <w:highlight w:val="cyan"/>
        </w:rPr>
        <w:t>note</w:t>
      </w:r>
      <w:proofErr w:type="gramEnd"/>
      <w:r>
        <w:rPr>
          <w:szCs w:val="22"/>
          <w:highlight w:val="cyan"/>
        </w:rPr>
        <w:t xml:space="preserve"> plate number</w:t>
      </w:r>
    </w:p>
    <w:p w14:paraId="28C7D9ED" w14:textId="77777777" w:rsidR="00A33916" w:rsidRPr="00915100" w:rsidRDefault="00A33916" w:rsidP="00AE2A0F">
      <w:pPr>
        <w:pStyle w:val="Text3"/>
        <w:ind w:left="720"/>
        <w:rPr>
          <w:bCs/>
          <w:szCs w:val="22"/>
        </w:rPr>
      </w:pPr>
      <w:r>
        <w:rPr>
          <w:i/>
          <w:iCs/>
          <w:szCs w:val="22"/>
        </w:rPr>
        <w:t>see also</w:t>
      </w:r>
      <w:r>
        <w:rPr>
          <w:szCs w:val="22"/>
        </w:rPr>
        <w:t xml:space="preserve"> </w:t>
      </w:r>
      <w:proofErr w:type="gramStart"/>
      <w:r>
        <w:rPr>
          <w:szCs w:val="22"/>
        </w:rPr>
        <w:t xml:space="preserve">embodiment  </w:t>
      </w:r>
      <w:r>
        <w:rPr>
          <w:color w:val="000000"/>
          <w:szCs w:val="22"/>
          <w:highlight w:val="cyan"/>
        </w:rPr>
        <w:t>if</w:t>
      </w:r>
      <w:proofErr w:type="gramEnd"/>
      <w:r>
        <w:rPr>
          <w:color w:val="000000"/>
          <w:szCs w:val="22"/>
          <w:highlight w:val="cyan"/>
        </w:rPr>
        <w:t xml:space="preserve"> there </w:t>
      </w:r>
      <w:r>
        <w:rPr>
          <w:bCs/>
          <w:color w:val="000000"/>
          <w:szCs w:val="22"/>
          <w:highlight w:val="cyan"/>
        </w:rPr>
        <w:t>are</w:t>
      </w:r>
      <w:r>
        <w:rPr>
          <w:color w:val="000000"/>
          <w:szCs w:val="22"/>
          <w:highlight w:val="cyan"/>
        </w:rPr>
        <w:t xml:space="preserve"> sub-entries, ‘</w:t>
      </w:r>
      <w:r>
        <w:rPr>
          <w:i/>
          <w:iCs/>
          <w:color w:val="000000"/>
          <w:szCs w:val="22"/>
          <w:highlight w:val="cyan"/>
        </w:rPr>
        <w:t>see also</w:t>
      </w:r>
      <w:r>
        <w:rPr>
          <w:color w:val="000000"/>
          <w:szCs w:val="22"/>
          <w:highlight w:val="cyan"/>
        </w:rPr>
        <w:t>’ follows at the end of the list of sub-entries; if there are no sub-entries, ‘</w:t>
      </w:r>
      <w:r>
        <w:rPr>
          <w:i/>
          <w:iCs/>
          <w:color w:val="000000"/>
          <w:szCs w:val="22"/>
          <w:highlight w:val="cyan"/>
        </w:rPr>
        <w:t>see also</w:t>
      </w:r>
      <w:r>
        <w:rPr>
          <w:color w:val="000000"/>
          <w:szCs w:val="22"/>
          <w:highlight w:val="cyan"/>
        </w:rPr>
        <w:t>’ follows on from the main entry after a semi-colon (compare with ‘analogy’, above)</w:t>
      </w:r>
    </w:p>
    <w:p w14:paraId="4165D8A6" w14:textId="77777777" w:rsidR="00A33916" w:rsidRPr="00DC1A7B" w:rsidRDefault="00A33916" w:rsidP="00AE2A0F">
      <w:pPr>
        <w:pStyle w:val="Text3"/>
      </w:pPr>
    </w:p>
    <w:sectPr w:rsidR="00A33916" w:rsidRPr="00DC1A7B" w:rsidSect="00846027">
      <w:footerReference w:type="default" r:id="rId8"/>
      <w:pgSz w:w="11906" w:h="16838"/>
      <w:pgMar w:top="1134" w:right="1440" w:bottom="1701" w:left="1440"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E865B" w14:textId="77777777" w:rsidR="00A33916" w:rsidRDefault="00A33916" w:rsidP="001F6837">
      <w:r>
        <w:separator/>
      </w:r>
    </w:p>
  </w:endnote>
  <w:endnote w:type="continuationSeparator" w:id="0">
    <w:p w14:paraId="65593236" w14:textId="77777777" w:rsidR="00A33916" w:rsidRDefault="00A33916" w:rsidP="001F6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panose1 w:val="020B0503030403020204"/>
    <w:charset w:val="00"/>
    <w:family w:val="auto"/>
    <w:pitch w:val="variable"/>
    <w:sig w:usb0="20000287" w:usb1="00000001" w:usb2="00000000" w:usb3="00000000" w:csb0="0000019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Open Sans Light">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3925797"/>
      <w:docPartObj>
        <w:docPartGallery w:val="Page Numbers (Bottom of Page)"/>
        <w:docPartUnique/>
      </w:docPartObj>
    </w:sdtPr>
    <w:sdtEndPr>
      <w:rPr>
        <w:rFonts w:ascii="Palatino Linotype" w:hAnsi="Palatino Linotype"/>
        <w:noProof/>
        <w:sz w:val="20"/>
      </w:rPr>
    </w:sdtEndPr>
    <w:sdtContent>
      <w:p w14:paraId="4A57F352" w14:textId="77777777" w:rsidR="00364AEA" w:rsidRPr="00364AEA" w:rsidRDefault="00B424A7">
        <w:pPr>
          <w:pStyle w:val="Footer"/>
          <w:jc w:val="right"/>
          <w:rPr>
            <w:rFonts w:ascii="Palatino Linotype" w:hAnsi="Palatino Linotype"/>
            <w:sz w:val="20"/>
          </w:rPr>
        </w:pPr>
        <w:r>
          <w:rPr>
            <w:rFonts w:ascii="Palatino Linotype" w:hAnsi="Palatino Linotype"/>
            <w:noProof/>
            <w:sz w:val="20"/>
          </w:rPr>
          <w:drawing>
            <wp:anchor distT="0" distB="0" distL="114300" distR="114300" simplePos="0" relativeHeight="251658240" behindDoc="0" locked="0" layoutInCell="1" allowOverlap="1" wp14:anchorId="476F7782" wp14:editId="1A48A0C7">
              <wp:simplePos x="0" y="0"/>
              <wp:positionH relativeFrom="column">
                <wp:posOffset>-152400</wp:posOffset>
              </wp:positionH>
              <wp:positionV relativeFrom="paragraph">
                <wp:posOffset>-89535</wp:posOffset>
              </wp:positionV>
              <wp:extent cx="3788410" cy="611505"/>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788410" cy="611505"/>
                      </a:xfrm>
                      <a:prstGeom prst="rect">
                        <a:avLst/>
                      </a:prstGeom>
                    </pic:spPr>
                  </pic:pic>
                </a:graphicData>
              </a:graphic>
            </wp:anchor>
          </w:drawing>
        </w:r>
        <w:r w:rsidR="00364AEA" w:rsidRPr="00364AEA">
          <w:rPr>
            <w:rFonts w:ascii="Palatino Linotype" w:hAnsi="Palatino Linotype"/>
            <w:sz w:val="20"/>
          </w:rPr>
          <w:fldChar w:fldCharType="begin"/>
        </w:r>
        <w:r w:rsidR="00364AEA" w:rsidRPr="00364AEA">
          <w:rPr>
            <w:rFonts w:ascii="Palatino Linotype" w:hAnsi="Palatino Linotype"/>
            <w:sz w:val="20"/>
          </w:rPr>
          <w:instrText xml:space="preserve"> PAGE   \* MERGEFORMAT </w:instrText>
        </w:r>
        <w:r w:rsidR="00364AEA" w:rsidRPr="00364AEA">
          <w:rPr>
            <w:rFonts w:ascii="Palatino Linotype" w:hAnsi="Palatino Linotype"/>
            <w:sz w:val="20"/>
          </w:rPr>
          <w:fldChar w:fldCharType="separate"/>
        </w:r>
        <w:r w:rsidR="005A56C5">
          <w:rPr>
            <w:rFonts w:ascii="Palatino Linotype" w:hAnsi="Palatino Linotype"/>
            <w:noProof/>
            <w:sz w:val="20"/>
          </w:rPr>
          <w:t>1</w:t>
        </w:r>
        <w:r w:rsidR="00364AEA" w:rsidRPr="00364AEA">
          <w:rPr>
            <w:rFonts w:ascii="Palatino Linotype" w:hAnsi="Palatino Linotype"/>
            <w:noProof/>
            <w:sz w:val="20"/>
          </w:rPr>
          <w:fldChar w:fldCharType="end"/>
        </w:r>
      </w:p>
    </w:sdtContent>
  </w:sdt>
  <w:p w14:paraId="2B1E6443" w14:textId="77777777" w:rsidR="001F6837" w:rsidRDefault="001F6837" w:rsidP="00364AE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FCB2D" w14:textId="77777777" w:rsidR="00A33916" w:rsidRDefault="00A33916" w:rsidP="001F6837">
      <w:r>
        <w:separator/>
      </w:r>
    </w:p>
  </w:footnote>
  <w:footnote w:type="continuationSeparator" w:id="0">
    <w:p w14:paraId="19626B4E" w14:textId="77777777" w:rsidR="00A33916" w:rsidRDefault="00A33916" w:rsidP="001F6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911E7"/>
    <w:multiLevelType w:val="hybridMultilevel"/>
    <w:tmpl w:val="2812A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526214"/>
    <w:multiLevelType w:val="hybridMultilevel"/>
    <w:tmpl w:val="DC7AC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B53C15"/>
    <w:multiLevelType w:val="hybridMultilevel"/>
    <w:tmpl w:val="8942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D07EC2"/>
    <w:multiLevelType w:val="singleLevel"/>
    <w:tmpl w:val="08090001"/>
    <w:lvl w:ilvl="0">
      <w:start w:val="1"/>
      <w:numFmt w:val="bullet"/>
      <w:lvlText w:val=""/>
      <w:lvlJc w:val="left"/>
      <w:pPr>
        <w:ind w:left="360" w:hanging="360"/>
      </w:pPr>
      <w:rPr>
        <w:rFonts w:ascii="Symbol" w:hAnsi="Symbol"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916"/>
    <w:rsid w:val="00010D01"/>
    <w:rsid w:val="00040A3C"/>
    <w:rsid w:val="001C39E8"/>
    <w:rsid w:val="001F6837"/>
    <w:rsid w:val="00364AEA"/>
    <w:rsid w:val="004176B1"/>
    <w:rsid w:val="005503B4"/>
    <w:rsid w:val="005512C6"/>
    <w:rsid w:val="00553185"/>
    <w:rsid w:val="00573756"/>
    <w:rsid w:val="005A56C5"/>
    <w:rsid w:val="005D5139"/>
    <w:rsid w:val="00645795"/>
    <w:rsid w:val="006E2D17"/>
    <w:rsid w:val="00700801"/>
    <w:rsid w:val="0071682D"/>
    <w:rsid w:val="0072274D"/>
    <w:rsid w:val="00736133"/>
    <w:rsid w:val="007A3D37"/>
    <w:rsid w:val="00825242"/>
    <w:rsid w:val="00846027"/>
    <w:rsid w:val="009E530E"/>
    <w:rsid w:val="00A33916"/>
    <w:rsid w:val="00AE2A0F"/>
    <w:rsid w:val="00B25274"/>
    <w:rsid w:val="00B424A7"/>
    <w:rsid w:val="00B52578"/>
    <w:rsid w:val="00B53B52"/>
    <w:rsid w:val="00C30137"/>
    <w:rsid w:val="00DA3C12"/>
    <w:rsid w:val="00DC1A7B"/>
    <w:rsid w:val="00E173A9"/>
    <w:rsid w:val="00F119C3"/>
    <w:rsid w:val="00F13F9A"/>
    <w:rsid w:val="00F22F70"/>
    <w:rsid w:val="00F7495B"/>
    <w:rsid w:val="00FA6899"/>
    <w:rsid w:val="00FF7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2F74D6"/>
  <w15:chartTrackingRefBased/>
  <w15:docId w15:val="{2C0F2C74-CC65-4DC3-930C-AB0F7FBED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yriad Pro" w:eastAsia="Times New Roman" w:hAnsi="Myriad Pro" w:cstheme="majorBidi"/>
        <w:color w:val="2E74B5" w:themeColor="accent1" w:themeShade="BF"/>
        <w:sz w:val="32"/>
        <w:szCs w:val="3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 1,Text"/>
    <w:qFormat/>
    <w:rsid w:val="00736133"/>
    <w:pPr>
      <w:spacing w:line="240" w:lineRule="auto"/>
    </w:pPr>
    <w:rPr>
      <w:rFonts w:ascii="Open Sans" w:hAnsi="Open Sans" w:cs="Times New Roman"/>
      <w:color w:val="000000" w:themeColor="text1"/>
      <w:sz w:val="22"/>
      <w:szCs w:val="20"/>
      <w:lang w:val="en-US" w:eastAsia="en-GB"/>
    </w:rPr>
  </w:style>
  <w:style w:type="paragraph" w:styleId="Heading1">
    <w:name w:val="heading 1"/>
    <w:basedOn w:val="Normal"/>
    <w:next w:val="Normal"/>
    <w:link w:val="Heading1Char"/>
    <w:uiPriority w:val="9"/>
    <w:qFormat/>
    <w:rsid w:val="00B52578"/>
    <w:pPr>
      <w:keepNext/>
      <w:keepLines/>
      <w:spacing w:before="240"/>
      <w:outlineLvl w:val="0"/>
    </w:pPr>
    <w:rPr>
      <w:rFonts w:ascii="Palatino Linotype" w:eastAsiaTheme="majorEastAsia" w:hAnsi="Palatino Linotype" w:cstheme="majorBidi"/>
      <w:color w:val="auto"/>
      <w:sz w:val="44"/>
      <w:szCs w:val="32"/>
      <w:lang w:val="en-GB"/>
    </w:rPr>
  </w:style>
  <w:style w:type="paragraph" w:styleId="Heading2">
    <w:name w:val="heading 2"/>
    <w:basedOn w:val="Normal"/>
    <w:next w:val="Normal"/>
    <w:link w:val="Heading2Char"/>
    <w:qFormat/>
    <w:rsid w:val="00B52578"/>
    <w:pPr>
      <w:keepNext/>
      <w:outlineLvl w:val="1"/>
    </w:pPr>
    <w:rPr>
      <w:color w:val="auto"/>
      <w:sz w:val="36"/>
    </w:rPr>
  </w:style>
  <w:style w:type="paragraph" w:styleId="Heading3">
    <w:name w:val="heading 3"/>
    <w:basedOn w:val="Normal"/>
    <w:next w:val="Normal"/>
    <w:link w:val="Heading3Char"/>
    <w:uiPriority w:val="9"/>
    <w:unhideWhenUsed/>
    <w:qFormat/>
    <w:rsid w:val="00F22F70"/>
    <w:pPr>
      <w:keepNext/>
      <w:keepLines/>
      <w:spacing w:before="40"/>
      <w:outlineLvl w:val="2"/>
    </w:pPr>
    <w:rPr>
      <w:rFonts w:eastAsiaTheme="majorEastAsia" w:cstheme="majorBidi"/>
      <w:color w:val="1F4E79" w:themeColor="accent1" w:themeShade="8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52578"/>
    <w:rPr>
      <w:rFonts w:ascii="Open Sans" w:hAnsi="Open Sans" w:cs="Times New Roman"/>
      <w:color w:val="auto"/>
      <w:sz w:val="36"/>
      <w:szCs w:val="20"/>
      <w:lang w:val="en-US" w:eastAsia="en-GB"/>
    </w:rPr>
  </w:style>
  <w:style w:type="paragraph" w:styleId="Header">
    <w:name w:val="header"/>
    <w:basedOn w:val="Normal"/>
    <w:link w:val="HeaderChar"/>
    <w:uiPriority w:val="99"/>
    <w:unhideWhenUsed/>
    <w:rsid w:val="001F6837"/>
    <w:pPr>
      <w:tabs>
        <w:tab w:val="center" w:pos="4513"/>
        <w:tab w:val="right" w:pos="9026"/>
      </w:tabs>
    </w:pPr>
  </w:style>
  <w:style w:type="character" w:customStyle="1" w:styleId="HeaderChar">
    <w:name w:val="Header Char"/>
    <w:basedOn w:val="DefaultParagraphFont"/>
    <w:link w:val="Header"/>
    <w:uiPriority w:val="99"/>
    <w:rsid w:val="001F6837"/>
    <w:rPr>
      <w:rFonts w:cs="Times New Roman"/>
      <w:color w:val="000000" w:themeColor="text1"/>
      <w:sz w:val="22"/>
      <w:szCs w:val="20"/>
      <w:lang w:val="en-US" w:eastAsia="en-GB"/>
    </w:rPr>
  </w:style>
  <w:style w:type="paragraph" w:styleId="Footer">
    <w:name w:val="footer"/>
    <w:basedOn w:val="Normal"/>
    <w:link w:val="FooterChar"/>
    <w:uiPriority w:val="99"/>
    <w:unhideWhenUsed/>
    <w:rsid w:val="001F6837"/>
    <w:pPr>
      <w:tabs>
        <w:tab w:val="center" w:pos="4513"/>
        <w:tab w:val="right" w:pos="9026"/>
      </w:tabs>
    </w:pPr>
  </w:style>
  <w:style w:type="character" w:customStyle="1" w:styleId="FooterChar">
    <w:name w:val="Footer Char"/>
    <w:basedOn w:val="DefaultParagraphFont"/>
    <w:link w:val="Footer"/>
    <w:uiPriority w:val="99"/>
    <w:rsid w:val="001F6837"/>
    <w:rPr>
      <w:rFonts w:cs="Times New Roman"/>
      <w:color w:val="000000" w:themeColor="text1"/>
      <w:sz w:val="22"/>
      <w:szCs w:val="20"/>
      <w:lang w:val="en-US" w:eastAsia="en-GB"/>
    </w:rPr>
  </w:style>
  <w:style w:type="character" w:customStyle="1" w:styleId="Heading1Char">
    <w:name w:val="Heading 1 Char"/>
    <w:basedOn w:val="DefaultParagraphFont"/>
    <w:link w:val="Heading1"/>
    <w:uiPriority w:val="9"/>
    <w:rsid w:val="00B52578"/>
    <w:rPr>
      <w:rFonts w:ascii="Palatino Linotype" w:eastAsiaTheme="majorEastAsia" w:hAnsi="Palatino Linotype"/>
      <w:color w:val="auto"/>
      <w:sz w:val="44"/>
      <w:lang w:eastAsia="en-GB"/>
    </w:rPr>
  </w:style>
  <w:style w:type="paragraph" w:styleId="NoSpacing">
    <w:name w:val="No Spacing"/>
    <w:uiPriority w:val="1"/>
    <w:rsid w:val="00825242"/>
    <w:pPr>
      <w:spacing w:line="240" w:lineRule="auto"/>
    </w:pPr>
    <w:rPr>
      <w:rFonts w:cs="Times New Roman"/>
      <w:color w:val="000000" w:themeColor="text1"/>
      <w:sz w:val="22"/>
      <w:szCs w:val="20"/>
      <w:lang w:val="en-US" w:eastAsia="en-GB"/>
    </w:rPr>
  </w:style>
  <w:style w:type="paragraph" w:styleId="ListParagraph">
    <w:name w:val="List Paragraph"/>
    <w:basedOn w:val="Normal"/>
    <w:uiPriority w:val="34"/>
    <w:rsid w:val="00825242"/>
    <w:pPr>
      <w:ind w:left="720"/>
      <w:contextualSpacing/>
    </w:pPr>
  </w:style>
  <w:style w:type="paragraph" w:styleId="Quote">
    <w:name w:val="Quote"/>
    <w:basedOn w:val="Normal"/>
    <w:next w:val="Normal"/>
    <w:link w:val="QuoteChar"/>
    <w:uiPriority w:val="29"/>
    <w:qFormat/>
    <w:rsid w:val="005512C6"/>
    <w:pPr>
      <w:spacing w:before="200" w:after="160"/>
      <w:ind w:left="567" w:right="862"/>
    </w:pPr>
    <w:rPr>
      <w:rFonts w:ascii="Palatino Linotype" w:hAnsi="Palatino Linotype"/>
      <w:i/>
      <w:iCs/>
      <w:color w:val="auto"/>
      <w:sz w:val="24"/>
    </w:rPr>
  </w:style>
  <w:style w:type="character" w:customStyle="1" w:styleId="QuoteChar">
    <w:name w:val="Quote Char"/>
    <w:basedOn w:val="DefaultParagraphFont"/>
    <w:link w:val="Quote"/>
    <w:uiPriority w:val="29"/>
    <w:rsid w:val="005512C6"/>
    <w:rPr>
      <w:rFonts w:ascii="Palatino Linotype" w:hAnsi="Palatino Linotype" w:cs="Times New Roman"/>
      <w:i/>
      <w:iCs/>
      <w:color w:val="auto"/>
      <w:sz w:val="24"/>
      <w:szCs w:val="20"/>
      <w:lang w:val="en-US" w:eastAsia="en-GB"/>
    </w:rPr>
  </w:style>
  <w:style w:type="character" w:customStyle="1" w:styleId="Heading3Char">
    <w:name w:val="Heading 3 Char"/>
    <w:basedOn w:val="DefaultParagraphFont"/>
    <w:link w:val="Heading3"/>
    <w:uiPriority w:val="9"/>
    <w:rsid w:val="00F22F70"/>
    <w:rPr>
      <w:rFonts w:ascii="Open Sans" w:eastAsiaTheme="majorEastAsia" w:hAnsi="Open Sans"/>
      <w:color w:val="1F4E79" w:themeColor="accent1" w:themeShade="80"/>
      <w:sz w:val="28"/>
      <w:szCs w:val="24"/>
      <w:lang w:val="en-US" w:eastAsia="en-GB"/>
    </w:rPr>
  </w:style>
  <w:style w:type="paragraph" w:customStyle="1" w:styleId="Text2">
    <w:name w:val="Text 2"/>
    <w:basedOn w:val="Normal"/>
    <w:link w:val="Text2Char"/>
    <w:qFormat/>
    <w:rsid w:val="001C39E8"/>
    <w:pPr>
      <w:spacing w:before="120" w:after="120"/>
    </w:pPr>
    <w:rPr>
      <w:rFonts w:ascii="Open Sans Light" w:hAnsi="Open Sans Light"/>
      <w:lang w:val="en-GB"/>
    </w:rPr>
  </w:style>
  <w:style w:type="character" w:customStyle="1" w:styleId="Text2Char">
    <w:name w:val="Text 2 Char"/>
    <w:basedOn w:val="DefaultParagraphFont"/>
    <w:link w:val="Text2"/>
    <w:rsid w:val="001C39E8"/>
    <w:rPr>
      <w:rFonts w:ascii="Open Sans Light" w:hAnsi="Open Sans Light" w:cs="Times New Roman"/>
      <w:color w:val="000000" w:themeColor="text1"/>
      <w:sz w:val="22"/>
      <w:szCs w:val="20"/>
      <w:lang w:eastAsia="en-GB"/>
    </w:rPr>
  </w:style>
  <w:style w:type="paragraph" w:customStyle="1" w:styleId="SubHeading4">
    <w:name w:val="Sub Heading 4"/>
    <w:basedOn w:val="Normal"/>
    <w:link w:val="SubHeading4Char"/>
    <w:qFormat/>
    <w:rsid w:val="00040A3C"/>
    <w:rPr>
      <w:rFonts w:ascii="Palatino Linotype" w:hAnsi="Palatino Linotype"/>
      <w:b/>
      <w:sz w:val="24"/>
    </w:rPr>
  </w:style>
  <w:style w:type="character" w:customStyle="1" w:styleId="SubHeading4Char">
    <w:name w:val="Sub Heading 4 Char"/>
    <w:basedOn w:val="DefaultParagraphFont"/>
    <w:link w:val="SubHeading4"/>
    <w:rsid w:val="00040A3C"/>
    <w:rPr>
      <w:rFonts w:ascii="Palatino Linotype" w:hAnsi="Palatino Linotype" w:cs="Times New Roman"/>
      <w:b/>
      <w:color w:val="000000" w:themeColor="text1"/>
      <w:sz w:val="24"/>
      <w:szCs w:val="20"/>
      <w:lang w:val="en-US" w:eastAsia="en-GB"/>
    </w:rPr>
  </w:style>
  <w:style w:type="paragraph" w:customStyle="1" w:styleId="Text3">
    <w:name w:val="Text 3"/>
    <w:basedOn w:val="Text2"/>
    <w:link w:val="Text3Char"/>
    <w:qFormat/>
    <w:rsid w:val="001C39E8"/>
    <w:rPr>
      <w:rFonts w:ascii="Palatino Linotype" w:hAnsi="Palatino Linotype"/>
    </w:rPr>
  </w:style>
  <w:style w:type="character" w:customStyle="1" w:styleId="Text3Char">
    <w:name w:val="Text 3 Char"/>
    <w:basedOn w:val="Text2Char"/>
    <w:link w:val="Text3"/>
    <w:rsid w:val="001C39E8"/>
    <w:rPr>
      <w:rFonts w:ascii="Palatino Linotype" w:hAnsi="Palatino Linotype" w:cs="Times New Roman"/>
      <w:color w:val="000000" w:themeColor="text1"/>
      <w:sz w:val="22"/>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ed.ac.uk\dst\shared\CSG\EUP\General\EUP%20General%20Information\Logos,%20Templates,%20Stationery\Templates\EUP%20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8B2-ECD2-4CF6-913E-C588A40F9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EUP Report Template.dotx</Template>
  <TotalTime>15</TotalTime>
  <Pages>5</Pages>
  <Words>1080</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Knight</dc:creator>
  <cp:keywords/>
  <dc:description/>
  <cp:lastModifiedBy>Kirsten Knight</cp:lastModifiedBy>
  <cp:revision>3</cp:revision>
  <dcterms:created xsi:type="dcterms:W3CDTF">2026-05-26T11:30:00Z</dcterms:created>
  <dcterms:modified xsi:type="dcterms:W3CDTF">2026-06-02T16:29:00Z</dcterms:modified>
  <cp:contentStatus/>
</cp:coreProperties>
</file>